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Студентам необходимо подготовить в электронном виде и разместить в ИОС самотоятльные работы в формате текстового доклада (doc, docx) или мультимединой презентации (pptx, pdf) по теме "Государство как платформа"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3366FF"/>
          <w:sz w:val="21"/>
          <w:szCs w:val="21"/>
          <w:lang w:eastAsia="ru-RU"/>
        </w:rPr>
        <w:t>Для подготовки презентации (доклада) студенту следует выбрать одну из тем, представленных в дальнейшем описании задания.</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b/>
          <w:bCs/>
          <w:color w:val="2A2513"/>
          <w:sz w:val="21"/>
          <w:szCs w:val="21"/>
          <w:lang w:eastAsia="ru-RU"/>
        </w:rPr>
        <w:t>Темы для подготовки докладов или презентаций:</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1.     Web 2.0. – что меняется в системе отношений?</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2.     Принципы и модели построения государства-платформы.</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3.     Зарубежный опыт построения государства-платформы (на конкретном примере: Великобритания, Канада, США, пр.).</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4.     Сценарии цифровизации государственного управления в России.</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5.     Возможности цифровых сервисов и платформенных решений для реализации функций государства.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6.     Архитектура экосистемы государства-платформы.</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7.     Методы и инструменты управления созданием и функционированием платформы.</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8.     Эффекты от реализации модели «государство-платформа».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9.     Управление рисками при реализации модели «государство-платформа». </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 </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3366FF"/>
          <w:sz w:val="21"/>
          <w:szCs w:val="21"/>
          <w:lang w:eastAsia="ru-RU"/>
        </w:rPr>
        <w:t>По ссылке "Лекционный и иной теоретический материал" представлен разный полезный материал, прямо или косвенно связанный с данной тематикой. Но, возможно, понадобится поискать дополнительный материал в интернет-пространстве по теме. При этом следует не допускать использование размещенных в сети студенческих работ и тем более ссылаться на них. Ссылаться можно на профессиональные, научные интернет-ресурсы, научные статьи, аналитические доклады (международных организаций, консалтинговых агентств, органов власти, образовательных и общественных организаций), материалы диссертаций, монографии, правовые акты, методические документы.</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1"/>
          <w:szCs w:val="21"/>
          <w:lang w:eastAsia="ru-RU"/>
        </w:rPr>
        <w:t>Некоторые полезные ссылки по теме:</w:t>
      </w:r>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hyperlink r:id="rId6" w:history="1">
        <w:r w:rsidRPr="00560ADC">
          <w:rPr>
            <w:rFonts w:ascii="Georgia" w:eastAsia="Times New Roman" w:hAnsi="Georgia" w:cs="Times New Roman"/>
            <w:color w:val="000000"/>
            <w:sz w:val="20"/>
            <w:szCs w:val="20"/>
            <w:lang w:eastAsia="ru-RU"/>
          </w:rPr>
          <w:t>https://roscongress.org/materials/gosudarstvo-kak-platforma-kiber-gosudarstvo-dlya-tsifrovoy-ekonomiki-tsifrovaya-transformatsiya/</w:t>
        </w:r>
      </w:hyperlink>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hyperlink r:id="rId7" w:history="1">
        <w:r w:rsidRPr="00560ADC">
          <w:rPr>
            <w:rFonts w:ascii="Georgia" w:eastAsia="Times New Roman" w:hAnsi="Georgia" w:cs="Times New Roman"/>
            <w:color w:val="000000"/>
            <w:sz w:val="20"/>
            <w:szCs w:val="20"/>
            <w:lang w:eastAsia="ru-RU"/>
          </w:rPr>
          <w:t>https://files.data-economy.ru/Docs/GovPlatform2019.pdf</w:t>
        </w:r>
      </w:hyperlink>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hyperlink r:id="rId8" w:history="1">
        <w:r w:rsidRPr="00560ADC">
          <w:rPr>
            <w:rFonts w:ascii="Georgia" w:eastAsia="Times New Roman" w:hAnsi="Georgia" w:cs="Times New Roman"/>
            <w:color w:val="000000"/>
            <w:sz w:val="20"/>
            <w:szCs w:val="20"/>
            <w:lang w:eastAsia="ru-RU"/>
          </w:rPr>
          <w:t>http://www.fidp.ru/research/global</w:t>
        </w:r>
      </w:hyperlink>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0"/>
          <w:szCs w:val="20"/>
          <w:lang w:eastAsia="ru-RU"/>
        </w:rPr>
        <w:t>Государство как платформа: Люди и технологии/ под ред. Шклярук М.С., — М: РАНХиГС, 2019. – 111 с. / </w:t>
      </w:r>
      <w:hyperlink r:id="rId9" w:history="1">
        <w:r w:rsidRPr="00560ADC">
          <w:rPr>
            <w:rFonts w:ascii="Georgia" w:eastAsia="Times New Roman" w:hAnsi="Georgia" w:cs="Times New Roman"/>
            <w:color w:val="000000"/>
            <w:sz w:val="20"/>
            <w:szCs w:val="20"/>
            <w:lang w:eastAsia="ru-RU"/>
          </w:rPr>
          <w:t>https://www.ranepa.ru/images/docs/cdto-hspa/21-03-2019-doklad-shklyaruk.pdf</w:t>
        </w:r>
      </w:hyperlink>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0"/>
          <w:szCs w:val="20"/>
          <w:lang w:eastAsia="ru-RU"/>
        </w:rPr>
        <w:t>«Государство как платформа. (Кибер)Государство для цифровой экономики. Цифровая трансформация / М. Петров, В. Буров, М. Шклярук, А. Шаров. Москва, апрель 2018». / </w:t>
      </w:r>
      <w:hyperlink r:id="rId10" w:history="1">
        <w:r w:rsidRPr="00560ADC">
          <w:rPr>
            <w:rFonts w:ascii="Georgia" w:eastAsia="Times New Roman" w:hAnsi="Georgia" w:cs="Times New Roman"/>
            <w:color w:val="000000"/>
            <w:sz w:val="20"/>
            <w:szCs w:val="20"/>
            <w:lang w:eastAsia="ru-RU"/>
          </w:rPr>
          <w:t>https://roscongress.org/materials/gosudarstvo-kak-platforma-kiber-gosudarstvo-dlya-tsifrovoy-ekonomiki-tsifrovaya-transformatsiya/</w:t>
        </w:r>
      </w:hyperlink>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0"/>
          <w:szCs w:val="20"/>
          <w:lang w:eastAsia="ru-RU"/>
        </w:rPr>
        <w:t>GOVERNMENT AS A PLATFORM: WHAT CAN ESTONIA SHOW THE WORLD? https://www.politics.ox.ac.uk/materials/publications/16061/government-as-a-platform.pdf</w:t>
      </w:r>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0"/>
          <w:szCs w:val="20"/>
          <w:lang w:eastAsia="ru-RU"/>
        </w:rPr>
        <w:t>https://governmentasaplatform.blog.gov.uk</w:t>
      </w:r>
    </w:p>
    <w:p w:rsidR="00560ADC" w:rsidRPr="00560ADC" w:rsidRDefault="00560ADC" w:rsidP="00560ADC">
      <w:pPr>
        <w:numPr>
          <w:ilvl w:val="0"/>
          <w:numId w:val="1"/>
        </w:numPr>
        <w:shd w:val="clear" w:color="auto" w:fill="FFFFFF"/>
        <w:spacing w:after="0" w:line="240" w:lineRule="auto"/>
        <w:ind w:left="480" w:right="240"/>
        <w:rPr>
          <w:rFonts w:ascii="Georgia" w:eastAsia="Times New Roman" w:hAnsi="Georgia" w:cs="Times New Roman"/>
          <w:color w:val="2A2513"/>
          <w:sz w:val="21"/>
          <w:szCs w:val="21"/>
          <w:lang w:eastAsia="ru-RU"/>
        </w:rPr>
      </w:pPr>
      <w:r w:rsidRPr="00560ADC">
        <w:rPr>
          <w:rFonts w:ascii="Georgia" w:eastAsia="Times New Roman" w:hAnsi="Georgia" w:cs="Times New Roman"/>
          <w:color w:val="2A2513"/>
          <w:sz w:val="20"/>
          <w:szCs w:val="20"/>
          <w:lang w:eastAsia="ru-RU"/>
        </w:rPr>
        <w:t>https://www.digital.govt.nz/blog/gov-as-a-platform-a-value-proposition-discussion-paper/</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b/>
          <w:bCs/>
          <w:color w:val="FF0000"/>
          <w:sz w:val="21"/>
          <w:szCs w:val="21"/>
          <w:lang w:eastAsia="ru-RU"/>
        </w:rPr>
        <w:t>Требования к оформлению самостоятельной работы в формате мультимедийной презентации (pptx, pdf):</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lastRenderedPageBreak/>
        <w:t>Объем работы составляет примерно 6-15 слайдов, подготовленных в любом приложении для создания презентаций </w:t>
      </w:r>
      <w:r w:rsidRPr="00560ADC">
        <w:rPr>
          <w:rFonts w:ascii="Georgia" w:eastAsia="Times New Roman" w:hAnsi="Georgia" w:cs="Times New Roman"/>
          <w:i/>
          <w:iCs/>
          <w:color w:val="FF0000"/>
          <w:sz w:val="21"/>
          <w:szCs w:val="21"/>
          <w:lang w:eastAsia="ru-RU"/>
        </w:rPr>
        <w:t>(ограничения по объему не строгие, но слайды должны в полной пере раскрыть тему)</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На титульном слайде указывается фамилия, имя, отчество автора самостоятельной работы, выбранная студентом тема доклада.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Далее автор представляет материал, определённый темой.</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На последний слайд презентации помещается список источников, использованных при подготовке презентации.</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Материал в презентации должен излагаться последовательно в соответствии с выбранной темой. В презентации должна быть полноценно раскрыта тема, выбранная студентом.</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Отличительной особенностью презентации является возможность представлять материал преимущественно в виде иллюстраций, схем, диаграмм и иных визуальных моделей представления аспектов выбранной теории. Соответственно, текстовое изложение положений теории используется в меньшей степени, скорее в целях описания тех или иных графических моделей. Не следует использовать презентацию, если студент представляет только текстовый материал. Для этого следует выбрать формат текстового доклада.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b/>
          <w:bCs/>
          <w:color w:val="FF0000"/>
          <w:sz w:val="21"/>
          <w:szCs w:val="21"/>
          <w:lang w:eastAsia="ru-RU"/>
        </w:rPr>
        <w:t>Требования к оформлению самостоятельной работы в формате текстового доклада:</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Объем работы составляет 4-8 страниц формата А4, подготовленных в редакторе MS Word или ином текстовом редакторе, шрифт Times New Roman, размер шрифта 14, межбуквенный интервал обычный, межстрочный интервал полуторный, параметры страницы – поля по 2 см., ориентация книжная.</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Вверху по центру указывается фамилия, имя, отчество автора самостоятельной работы, выбранная студентом тема доклада жирным шрифтом.</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Затем через один пропущенный интервал располагается текст доклада. После него через один интервал помещается библиографический список.</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Материал в докладе должен излагаться последовательно в соответствии с выбранной темой. Результатом работы должно быть полноценное раскрытие всех аспектов, предусмотренных формулировкой темы, выбранной студентом. Не могут быть зачтены размещенные файлы, содержащие фрагментарный, плохо структурированный текст, без указания ссылок на источники и не раскрывающий тему. </w:t>
      </w:r>
    </w:p>
    <w:p w:rsidR="00560ADC" w:rsidRPr="00560ADC" w:rsidRDefault="00560ADC" w:rsidP="00560ADC">
      <w:pPr>
        <w:shd w:val="clear" w:color="auto" w:fill="FFFFFF"/>
        <w:spacing w:after="240" w:line="240" w:lineRule="auto"/>
        <w:rPr>
          <w:rFonts w:ascii="Georgia" w:eastAsia="Times New Roman" w:hAnsi="Georgia" w:cs="Times New Roman"/>
          <w:color w:val="2A2513"/>
          <w:sz w:val="21"/>
          <w:szCs w:val="21"/>
          <w:lang w:eastAsia="ru-RU"/>
        </w:rPr>
      </w:pPr>
      <w:r w:rsidRPr="00560ADC">
        <w:rPr>
          <w:rFonts w:ascii="Georgia" w:eastAsia="Times New Roman" w:hAnsi="Georgia" w:cs="Times New Roman"/>
          <w:color w:val="FF0000"/>
          <w:sz w:val="21"/>
          <w:szCs w:val="21"/>
          <w:lang w:eastAsia="ru-RU"/>
        </w:rPr>
        <w:t>Ссылки на источники данных, использованных при написании работы, указываются в подстрочном формате, т.е. размещаются внизу страницы и отделяются от текста короткой прямой чертой (с использованием встроенной функции вставки сносок текстового редактора).</w:t>
      </w:r>
    </w:p>
    <w:p w:rsidR="002B4B72" w:rsidRDefault="00560ADC">
      <w:bookmarkStart w:id="0" w:name="_GoBack"/>
      <w:bookmarkEnd w:id="0"/>
    </w:p>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8F3"/>
    <w:multiLevelType w:val="multilevel"/>
    <w:tmpl w:val="9E2A5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D9"/>
    <w:rsid w:val="00115587"/>
    <w:rsid w:val="001B7030"/>
    <w:rsid w:val="004B26D9"/>
    <w:rsid w:val="00560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0A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0A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60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dp.ru/research/global" TargetMode="External"/><Relationship Id="rId3" Type="http://schemas.microsoft.com/office/2007/relationships/stylesWithEffects" Target="stylesWithEffects.xml"/><Relationship Id="rId7" Type="http://schemas.openxmlformats.org/officeDocument/2006/relationships/hyperlink" Target="https://files.data-economy.ru/Docs/GovPlatform2019.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scongress.org/materials/gosudarstvo-kak-platforma-kiber-gosudarstvo-dlya-tsifrovoy-ekonomiki-tsifrovaya-transformatsiy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oscongress.org/materials/gosudarstvo-kak-platforma-kiber-gosudarstvo-dlya-tsifrovoy-ekonomiki-tsifrovaya-transformatsiya/" TargetMode="External"/><Relationship Id="rId4" Type="http://schemas.openxmlformats.org/officeDocument/2006/relationships/settings" Target="settings.xml"/><Relationship Id="rId9" Type="http://schemas.openxmlformats.org/officeDocument/2006/relationships/hyperlink" Target="https://www.ranepa.ru/images/docs/cdto-hspa/21-03-2019-doklad-shklyaru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864</Words>
  <Characters>4928</Characters>
  <Application>Microsoft Office Word</Application>
  <DocSecurity>0</DocSecurity>
  <Lines>41</Lines>
  <Paragraphs>11</Paragraphs>
  <ScaleCrop>false</ScaleCrop>
  <Company/>
  <LinksUpToDate>false</LinksUpToDate>
  <CharactersWithSpaces>5781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2021-11-23T07:05:00Z</dcterms:created>
  <dcterms:modified xsi:type="dcterms:W3CDTF">2021-11-23T07:05:00Z</dcterms:modified>
</cp:coreProperties>
</file>